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9BAC4" w14:textId="77777777" w:rsidR="00A439D6" w:rsidRPr="002F5890" w:rsidRDefault="00A439D6" w:rsidP="00C3042D">
      <w:pPr>
        <w:rPr>
          <w:rFonts w:ascii="Calibri" w:hAnsi="Calibri" w:cs="Calibri"/>
          <w:sz w:val="26"/>
          <w:szCs w:val="26"/>
        </w:rPr>
      </w:pPr>
      <w:bookmarkStart w:id="0" w:name="_GoBack"/>
      <w:bookmarkEnd w:id="0"/>
    </w:p>
    <w:p w14:paraId="0B1EA1D6" w14:textId="77777777" w:rsidR="00A439D6" w:rsidRPr="002F5890" w:rsidRDefault="00A439D6" w:rsidP="00A439D6">
      <w:pPr>
        <w:rPr>
          <w:rFonts w:ascii="Calibri" w:hAnsi="Calibri" w:cs="Calibri"/>
          <w:sz w:val="26"/>
          <w:szCs w:val="26"/>
        </w:rPr>
      </w:pPr>
    </w:p>
    <w:p w14:paraId="31333DCC" w14:textId="77777777" w:rsidR="00A439D6" w:rsidRPr="002F5890" w:rsidRDefault="00A439D6" w:rsidP="00A439D6">
      <w:pPr>
        <w:rPr>
          <w:rFonts w:ascii="Calibri" w:hAnsi="Calibri" w:cs="Calibri"/>
          <w:sz w:val="26"/>
          <w:szCs w:val="26"/>
        </w:rPr>
      </w:pPr>
    </w:p>
    <w:p w14:paraId="15D697A6" w14:textId="77777777" w:rsidR="00A439D6" w:rsidRPr="002F5890" w:rsidRDefault="00A439D6" w:rsidP="00A439D6">
      <w:pPr>
        <w:rPr>
          <w:rFonts w:ascii="Calibri" w:hAnsi="Calibri" w:cs="Calibri"/>
          <w:sz w:val="26"/>
          <w:szCs w:val="26"/>
        </w:rPr>
      </w:pPr>
    </w:p>
    <w:p w14:paraId="64847B4B" w14:textId="77777777" w:rsidR="00A439D6" w:rsidRPr="002F5890" w:rsidRDefault="00A439D6" w:rsidP="00A439D6">
      <w:pPr>
        <w:rPr>
          <w:rFonts w:ascii="Calibri" w:hAnsi="Calibri" w:cs="Calibri"/>
          <w:sz w:val="26"/>
          <w:szCs w:val="26"/>
        </w:rPr>
      </w:pPr>
    </w:p>
    <w:p w14:paraId="497ACABB" w14:textId="77777777" w:rsidR="00A439D6" w:rsidRPr="002F5890" w:rsidRDefault="00A439D6" w:rsidP="00A439D6">
      <w:pPr>
        <w:rPr>
          <w:rFonts w:ascii="Calibri" w:hAnsi="Calibri" w:cs="Calibri"/>
          <w:sz w:val="26"/>
          <w:szCs w:val="26"/>
        </w:rPr>
      </w:pPr>
    </w:p>
    <w:p w14:paraId="06C043A6" w14:textId="77777777" w:rsidR="004F076E" w:rsidRPr="002F5890" w:rsidRDefault="004F076E" w:rsidP="004F076E">
      <w:pPr>
        <w:jc w:val="both"/>
        <w:rPr>
          <w:rFonts w:ascii="Calibri" w:hAnsi="Calibri" w:cs="Calibri"/>
          <w:sz w:val="26"/>
          <w:szCs w:val="26"/>
        </w:rPr>
      </w:pPr>
      <w:r w:rsidRPr="002F5890">
        <w:rPr>
          <w:rFonts w:ascii="Calibri" w:hAnsi="Calibri" w:cs="Calibri"/>
          <w:sz w:val="26"/>
          <w:szCs w:val="26"/>
        </w:rPr>
        <w:t>Urmare dezbaterilor care a</w:t>
      </w:r>
      <w:r w:rsidR="004958B5" w:rsidRPr="002F5890">
        <w:rPr>
          <w:rFonts w:ascii="Calibri" w:hAnsi="Calibri" w:cs="Calibri"/>
          <w:sz w:val="26"/>
          <w:szCs w:val="26"/>
        </w:rPr>
        <w:t>u</w:t>
      </w:r>
      <w:r w:rsidRPr="002F5890">
        <w:rPr>
          <w:rFonts w:ascii="Calibri" w:hAnsi="Calibri" w:cs="Calibri"/>
          <w:sz w:val="26"/>
          <w:szCs w:val="26"/>
        </w:rPr>
        <w:t xml:space="preserve"> avut loc în cadrul ședinței Comisiei Permanente din 2 aprilie 2020, ținută în format de videoconferință, cu invitarea decanilor barourilor, </w:t>
      </w:r>
      <w:r w:rsidR="004958B5" w:rsidRPr="002F5890">
        <w:rPr>
          <w:rFonts w:ascii="Calibri" w:hAnsi="Calibri" w:cs="Calibri"/>
          <w:sz w:val="26"/>
          <w:szCs w:val="26"/>
        </w:rPr>
        <w:t xml:space="preserve">ședință </w:t>
      </w:r>
      <w:r w:rsidRPr="002F5890">
        <w:rPr>
          <w:rFonts w:ascii="Calibri" w:hAnsi="Calibri" w:cs="Calibri"/>
          <w:sz w:val="26"/>
          <w:szCs w:val="26"/>
        </w:rPr>
        <w:t xml:space="preserve">în care au fost analizate </w:t>
      </w:r>
      <w:r w:rsidRPr="002F5890">
        <w:rPr>
          <w:rFonts w:ascii="Calibri" w:hAnsi="Calibri" w:cs="Calibri"/>
          <w:i/>
          <w:iCs/>
          <w:sz w:val="26"/>
          <w:szCs w:val="26"/>
        </w:rPr>
        <w:t>actele normative cu impact asupra exercitării profesiei de avocat adoptate de la data declarării stării de urgență</w:t>
      </w:r>
    </w:p>
    <w:p w14:paraId="18EFF75F" w14:textId="77777777" w:rsidR="004F076E" w:rsidRPr="002F5890" w:rsidRDefault="004F076E" w:rsidP="004F076E">
      <w:pPr>
        <w:jc w:val="both"/>
        <w:rPr>
          <w:rFonts w:ascii="Calibri" w:hAnsi="Calibri" w:cs="Calibri"/>
          <w:sz w:val="26"/>
          <w:szCs w:val="26"/>
        </w:rPr>
      </w:pPr>
    </w:p>
    <w:p w14:paraId="48F1B69A" w14:textId="77777777" w:rsidR="004F076E" w:rsidRPr="002F5890" w:rsidRDefault="004F076E" w:rsidP="004F076E">
      <w:pPr>
        <w:jc w:val="both"/>
        <w:rPr>
          <w:rFonts w:ascii="Calibri" w:hAnsi="Calibri" w:cs="Calibri"/>
          <w:sz w:val="26"/>
          <w:szCs w:val="26"/>
        </w:rPr>
      </w:pPr>
      <w:r w:rsidRPr="002F5890">
        <w:rPr>
          <w:rFonts w:ascii="Calibri" w:hAnsi="Calibri" w:cs="Calibri"/>
          <w:sz w:val="26"/>
          <w:szCs w:val="26"/>
        </w:rPr>
        <w:t>s-au stabilit următoarele:</w:t>
      </w:r>
    </w:p>
    <w:p w14:paraId="7BF70988" w14:textId="77777777" w:rsidR="004F076E" w:rsidRPr="002F5890" w:rsidRDefault="004F076E" w:rsidP="004F076E">
      <w:pPr>
        <w:jc w:val="both"/>
        <w:rPr>
          <w:rFonts w:ascii="Calibri" w:hAnsi="Calibri" w:cs="Calibri"/>
          <w:sz w:val="26"/>
          <w:szCs w:val="26"/>
        </w:rPr>
      </w:pPr>
    </w:p>
    <w:p w14:paraId="4F35B392" w14:textId="77777777" w:rsidR="004F076E" w:rsidRPr="002F5890" w:rsidRDefault="004F076E" w:rsidP="004F076E">
      <w:pPr>
        <w:jc w:val="both"/>
        <w:rPr>
          <w:rFonts w:ascii="Calibri" w:hAnsi="Calibri" w:cs="Calibri"/>
          <w:sz w:val="26"/>
          <w:szCs w:val="26"/>
        </w:rPr>
      </w:pPr>
      <w:r w:rsidRPr="002F5890">
        <w:rPr>
          <w:rFonts w:ascii="Calibri" w:hAnsi="Calibri" w:cs="Calibri"/>
          <w:sz w:val="26"/>
          <w:szCs w:val="26"/>
        </w:rPr>
        <w:t xml:space="preserve">a) dispozițiile art. XV alin. (1) din OUG nr.30/2020, completată și modificată prin OUG nr. 32/2020 sunt aplicabile avocaților; </w:t>
      </w:r>
    </w:p>
    <w:p w14:paraId="5A36C9F8" w14:textId="77777777" w:rsidR="004F076E" w:rsidRPr="002F5890" w:rsidRDefault="004F076E" w:rsidP="004F076E">
      <w:pPr>
        <w:jc w:val="both"/>
        <w:rPr>
          <w:rFonts w:ascii="Calibri" w:hAnsi="Calibri" w:cs="Calibri"/>
          <w:sz w:val="26"/>
          <w:szCs w:val="26"/>
        </w:rPr>
      </w:pPr>
      <w:r w:rsidRPr="002F5890">
        <w:rPr>
          <w:rFonts w:ascii="Calibri" w:hAnsi="Calibri" w:cs="Calibri"/>
          <w:sz w:val="26"/>
          <w:szCs w:val="26"/>
        </w:rPr>
        <w:t xml:space="preserve">b)  prevederile art. X din OUG nr.29/2020 privind unele măsuri economice și fiscal-bugetare care prevăd că avocații (ca de altfel și alte profesii juridice) sunt obligați să ia, cu observarea regulilor de disciplină sanitară, măsurile necesare în vederea asigurării continuității nu exclud, ci dimpotrivă justifică </w:t>
      </w:r>
      <w:r w:rsidRPr="002F5890">
        <w:rPr>
          <w:rFonts w:ascii="Calibri" w:hAnsi="Calibri" w:cs="Calibri"/>
          <w:i/>
          <w:iCs/>
          <w:sz w:val="26"/>
          <w:szCs w:val="26"/>
        </w:rPr>
        <w:t xml:space="preserve">a </w:t>
      </w:r>
      <w:proofErr w:type="spellStart"/>
      <w:r w:rsidRPr="002F5890">
        <w:rPr>
          <w:rFonts w:ascii="Calibri" w:hAnsi="Calibri" w:cs="Calibri"/>
          <w:i/>
          <w:iCs/>
          <w:sz w:val="26"/>
          <w:szCs w:val="26"/>
        </w:rPr>
        <w:t>fortiori</w:t>
      </w:r>
      <w:proofErr w:type="spellEnd"/>
      <w:r w:rsidRPr="002F5890">
        <w:rPr>
          <w:rFonts w:ascii="Calibri" w:hAnsi="Calibri" w:cs="Calibri"/>
          <w:sz w:val="26"/>
          <w:szCs w:val="26"/>
        </w:rPr>
        <w:t xml:space="preserve"> accesarea de către avocați a măsurilor art. XV din OUG nr. 30/2020, modificat și completat prin OUG nr. 32/202. Dispozițiile art. X din OUG nr.29/2020 au semnificația interdicției de a refuza serviciul avocațial în acele situații în care potrivit legislației stării de urgență, acest serviciu este esențial pentru funcționarea serviciului public al justiției.  Întreruperea activității, în sensul art. XV alin. (1) din </w:t>
      </w:r>
      <w:r w:rsidRPr="004F076E">
        <w:rPr>
          <w:rFonts w:ascii="Calibri" w:hAnsi="Calibri" w:cs="Calibri"/>
          <w:sz w:val="26"/>
          <w:szCs w:val="26"/>
        </w:rPr>
        <w:t>OUG nr.30/2020</w:t>
      </w:r>
      <w:r>
        <w:rPr>
          <w:rFonts w:ascii="Calibri" w:hAnsi="Calibri" w:cs="Calibri"/>
          <w:sz w:val="26"/>
          <w:szCs w:val="26"/>
        </w:rPr>
        <w:t xml:space="preserve"> </w:t>
      </w:r>
      <w:r w:rsidR="00CC0C77">
        <w:rPr>
          <w:rFonts w:ascii="Calibri" w:hAnsi="Calibri" w:cs="Calibri"/>
          <w:sz w:val="26"/>
          <w:szCs w:val="26"/>
        </w:rPr>
        <w:t xml:space="preserve">reprezintă situația </w:t>
      </w:r>
      <w:r w:rsidR="00CC0C77">
        <w:rPr>
          <w:rFonts w:ascii="Calibri" w:hAnsi="Calibri" w:cs="Calibri"/>
          <w:i/>
          <w:iCs/>
          <w:sz w:val="26"/>
          <w:szCs w:val="26"/>
        </w:rPr>
        <w:t xml:space="preserve">de </w:t>
      </w:r>
      <w:r w:rsidR="00CC0C77" w:rsidRPr="00CC0C77">
        <w:rPr>
          <w:rFonts w:ascii="Calibri" w:hAnsi="Calibri" w:cs="Calibri"/>
          <w:sz w:val="26"/>
          <w:szCs w:val="26"/>
        </w:rPr>
        <w:t>facto</w:t>
      </w:r>
      <w:r w:rsidR="00CC0C77">
        <w:rPr>
          <w:rFonts w:ascii="Calibri" w:hAnsi="Calibri" w:cs="Calibri"/>
          <w:sz w:val="26"/>
          <w:szCs w:val="26"/>
        </w:rPr>
        <w:t xml:space="preserve"> și </w:t>
      </w:r>
      <w:r w:rsidRPr="002F5890">
        <w:rPr>
          <w:rFonts w:ascii="Calibri" w:hAnsi="Calibri" w:cs="Calibri"/>
          <w:sz w:val="26"/>
          <w:szCs w:val="26"/>
        </w:rPr>
        <w:t>are semnificația că, în perioada stării de urgență, avocatul nu efectuează activități profesionale care să genereze venituri din profesie (lipsa de contracte de asistență și în consecință lipsa de facturare; lipsa onorariilor retrocedate din partea titularului formei de exercitare a profesiei etc.);</w:t>
      </w:r>
    </w:p>
    <w:p w14:paraId="02EF1872" w14:textId="77777777" w:rsidR="004F076E" w:rsidRPr="002F5890" w:rsidRDefault="00CC0C77" w:rsidP="004F076E">
      <w:pPr>
        <w:jc w:val="both"/>
        <w:rPr>
          <w:rFonts w:ascii="Calibri" w:hAnsi="Calibri" w:cs="Calibri"/>
          <w:sz w:val="26"/>
          <w:szCs w:val="26"/>
        </w:rPr>
      </w:pPr>
      <w:r w:rsidRPr="002F5890">
        <w:rPr>
          <w:rFonts w:ascii="Calibri" w:hAnsi="Calibri" w:cs="Calibri"/>
          <w:sz w:val="26"/>
          <w:szCs w:val="26"/>
        </w:rPr>
        <w:t>c</w:t>
      </w:r>
      <w:r w:rsidR="004F076E" w:rsidRPr="002F5890">
        <w:rPr>
          <w:rFonts w:ascii="Calibri" w:hAnsi="Calibri" w:cs="Calibri"/>
          <w:sz w:val="26"/>
          <w:szCs w:val="26"/>
        </w:rPr>
        <w:t>) accesarea măsurilor prevăzute la art. XV alin. (1) din OUG nr.30/2020</w:t>
      </w:r>
      <w:r w:rsidR="004F076E" w:rsidRPr="004F076E">
        <w:t xml:space="preserve"> </w:t>
      </w:r>
      <w:r w:rsidR="004F076E">
        <w:t>(</w:t>
      </w:r>
      <w:r w:rsidR="004F076E" w:rsidRPr="004F076E">
        <w:rPr>
          <w:rFonts w:ascii="Calibri" w:hAnsi="Calibri" w:cs="Calibri"/>
          <w:sz w:val="26"/>
          <w:szCs w:val="26"/>
        </w:rPr>
        <w:t>pentru modificarea și completarea unor acte normative, precum și pentru stabilirea unor măsuri în domeniul protecției sociale în contextul situației epidemiologice determinate de răspândirea coronavirusului SARS-CoV-2 și pentru stabilirea unor măsuri suplimentare de protecție socială</w:t>
      </w:r>
      <w:r w:rsidR="004F076E">
        <w:rPr>
          <w:rFonts w:ascii="Calibri" w:hAnsi="Calibri" w:cs="Calibri"/>
          <w:sz w:val="26"/>
          <w:szCs w:val="26"/>
        </w:rPr>
        <w:t>)</w:t>
      </w:r>
      <w:r w:rsidR="004F076E" w:rsidRPr="002F5890">
        <w:rPr>
          <w:rFonts w:ascii="Calibri" w:hAnsi="Calibri" w:cs="Calibri"/>
          <w:sz w:val="26"/>
          <w:szCs w:val="26"/>
        </w:rPr>
        <w:t xml:space="preserve">, nu presupune suspendarea calității de avocat. Suspendarea prevăzută de art.27 lit. d) din Legea nr.51/1995 reprezintă o stare de drept care înlătură temporar calitatea de avocat și exclude persoana în cauză de la aplicarea măsurilor prevăzute de art. XV </w:t>
      </w:r>
      <w:r w:rsidR="004F076E" w:rsidRPr="004F076E">
        <w:rPr>
          <w:rFonts w:ascii="Calibri" w:hAnsi="Calibri" w:cs="Calibri"/>
          <w:sz w:val="26"/>
          <w:szCs w:val="26"/>
        </w:rPr>
        <w:t>din OUG nr.30/2020</w:t>
      </w:r>
      <w:r w:rsidR="004F076E" w:rsidRPr="002F5890">
        <w:rPr>
          <w:rFonts w:ascii="Calibri" w:hAnsi="Calibri" w:cs="Calibri"/>
          <w:sz w:val="26"/>
          <w:szCs w:val="26"/>
        </w:rPr>
        <w:t xml:space="preserve">. Întreruperea activității reprezintă o problema </w:t>
      </w:r>
      <w:r w:rsidR="004F076E" w:rsidRPr="002F5890">
        <w:rPr>
          <w:rFonts w:ascii="Calibri" w:hAnsi="Calibri" w:cs="Calibri"/>
          <w:i/>
          <w:sz w:val="26"/>
          <w:szCs w:val="26"/>
        </w:rPr>
        <w:t>de facto</w:t>
      </w:r>
      <w:r w:rsidR="004F076E" w:rsidRPr="002F5890">
        <w:rPr>
          <w:rFonts w:ascii="Calibri" w:hAnsi="Calibri" w:cs="Calibri"/>
          <w:sz w:val="26"/>
          <w:szCs w:val="26"/>
        </w:rPr>
        <w:t xml:space="preserve"> caracterizată prin situațiile prevăzute la </w:t>
      </w:r>
      <w:proofErr w:type="spellStart"/>
      <w:r w:rsidR="004F076E" w:rsidRPr="002F5890">
        <w:rPr>
          <w:rFonts w:ascii="Calibri" w:hAnsi="Calibri" w:cs="Calibri"/>
          <w:sz w:val="26"/>
          <w:szCs w:val="26"/>
        </w:rPr>
        <w:t>lit.c</w:t>
      </w:r>
      <w:proofErr w:type="spellEnd"/>
      <w:r w:rsidR="004F076E" w:rsidRPr="002F5890">
        <w:rPr>
          <w:rFonts w:ascii="Calibri" w:hAnsi="Calibri" w:cs="Calibri"/>
          <w:sz w:val="26"/>
          <w:szCs w:val="26"/>
        </w:rPr>
        <w:t>) de mai sus;</w:t>
      </w:r>
    </w:p>
    <w:p w14:paraId="29898FBA" w14:textId="77777777" w:rsidR="00A439D6" w:rsidRPr="002F5890" w:rsidRDefault="00CC0C77" w:rsidP="004F076E">
      <w:pPr>
        <w:jc w:val="both"/>
        <w:rPr>
          <w:rFonts w:ascii="Calibri" w:hAnsi="Calibri" w:cs="Calibri"/>
          <w:sz w:val="26"/>
          <w:szCs w:val="26"/>
        </w:rPr>
      </w:pPr>
      <w:r w:rsidRPr="002F5890">
        <w:rPr>
          <w:rFonts w:ascii="Calibri" w:hAnsi="Calibri" w:cs="Calibri"/>
          <w:sz w:val="26"/>
          <w:szCs w:val="26"/>
        </w:rPr>
        <w:t>d</w:t>
      </w:r>
      <w:r w:rsidR="004F076E" w:rsidRPr="002F5890">
        <w:rPr>
          <w:rFonts w:ascii="Calibri" w:hAnsi="Calibri" w:cs="Calibri"/>
          <w:sz w:val="26"/>
          <w:szCs w:val="26"/>
        </w:rPr>
        <w:t xml:space="preserve">) </w:t>
      </w:r>
      <w:r w:rsidR="004958B5" w:rsidRPr="002F5890">
        <w:rPr>
          <w:rFonts w:ascii="Calibri" w:hAnsi="Calibri" w:cs="Calibri"/>
          <w:sz w:val="26"/>
          <w:szCs w:val="26"/>
        </w:rPr>
        <w:t>v</w:t>
      </w:r>
      <w:r w:rsidR="004F076E" w:rsidRPr="002F5890">
        <w:rPr>
          <w:rFonts w:ascii="Calibri" w:hAnsi="Calibri" w:cs="Calibri"/>
          <w:sz w:val="26"/>
          <w:szCs w:val="26"/>
        </w:rPr>
        <w:t>erificarea calității de avocat se poate face prin accesarea aplicației informatice „Tabloul național al avocaților”, aflat pe website-</w:t>
      </w:r>
      <w:proofErr w:type="spellStart"/>
      <w:r w:rsidR="004F076E" w:rsidRPr="002F5890">
        <w:rPr>
          <w:rFonts w:ascii="Calibri" w:hAnsi="Calibri" w:cs="Calibri"/>
          <w:sz w:val="26"/>
          <w:szCs w:val="26"/>
        </w:rPr>
        <w:t>ul</w:t>
      </w:r>
      <w:proofErr w:type="spellEnd"/>
      <w:r w:rsidR="004F076E" w:rsidRPr="002F5890">
        <w:rPr>
          <w:rFonts w:ascii="Calibri" w:hAnsi="Calibri" w:cs="Calibri"/>
          <w:sz w:val="26"/>
          <w:szCs w:val="26"/>
        </w:rPr>
        <w:t xml:space="preserve"> </w:t>
      </w:r>
      <w:hyperlink r:id="rId8" w:history="1">
        <w:r w:rsidR="004F076E" w:rsidRPr="002F5890">
          <w:rPr>
            <w:rStyle w:val="Hyperlink"/>
            <w:rFonts w:ascii="Calibri" w:hAnsi="Calibri" w:cs="Calibri"/>
            <w:sz w:val="26"/>
            <w:szCs w:val="26"/>
          </w:rPr>
          <w:t>www.ifep.ro</w:t>
        </w:r>
      </w:hyperlink>
      <w:r w:rsidR="004F076E" w:rsidRPr="002F5890">
        <w:rPr>
          <w:rFonts w:ascii="Calibri" w:hAnsi="Calibri" w:cs="Calibri"/>
          <w:sz w:val="26"/>
          <w:szCs w:val="26"/>
        </w:rPr>
        <w:t>. Pentru orice incident, barourile vor oferi sprijin avocaților în privința atestării calității de avocat.</w:t>
      </w:r>
    </w:p>
    <w:p w14:paraId="1D5BA2E6" w14:textId="77777777" w:rsidR="00CC0C77" w:rsidRPr="002F5890" w:rsidRDefault="00CC0C77" w:rsidP="004F076E">
      <w:pPr>
        <w:jc w:val="both"/>
        <w:rPr>
          <w:rFonts w:ascii="Calibri" w:hAnsi="Calibri" w:cs="Calibri"/>
          <w:sz w:val="26"/>
          <w:szCs w:val="26"/>
        </w:rPr>
      </w:pPr>
      <w:r w:rsidRPr="002F5890">
        <w:rPr>
          <w:rFonts w:ascii="Calibri" w:hAnsi="Calibri" w:cs="Calibri"/>
          <w:sz w:val="26"/>
          <w:szCs w:val="26"/>
        </w:rPr>
        <w:t xml:space="preserve">e) </w:t>
      </w:r>
      <w:r w:rsidRPr="00CC0C77">
        <w:rPr>
          <w:rFonts w:ascii="Calibri" w:hAnsi="Calibri" w:cs="Calibri"/>
          <w:sz w:val="26"/>
          <w:szCs w:val="26"/>
        </w:rPr>
        <w:t>dispozițiile art. XV alin. (5), în partea privitoare la „contribuțiile de asigurări sociale” nu sunt aplicabile avocaților. Drepturile la asigurări sociale al avocaților se exercită în condițiile Legii nr.72/2016 privind sistemul de pensii și alte drepturi de asigurări sociale ale avocaților.</w:t>
      </w:r>
    </w:p>
    <w:sectPr w:rsidR="00CC0C77" w:rsidRPr="002F5890" w:rsidSect="004263DB">
      <w:headerReference w:type="default" r:id="rId9"/>
      <w:footerReference w:type="default" r:id="rId10"/>
      <w:pgSz w:w="11906" w:h="16838" w:code="9"/>
      <w:pgMar w:top="454" w:right="567" w:bottom="360" w:left="1134"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CC360" w14:textId="77777777" w:rsidR="002F5890" w:rsidRDefault="002F5890" w:rsidP="0078639A">
      <w:r>
        <w:separator/>
      </w:r>
    </w:p>
  </w:endnote>
  <w:endnote w:type="continuationSeparator" w:id="0">
    <w:p w14:paraId="6F455F33" w14:textId="77777777" w:rsidR="002F5890" w:rsidRDefault="002F5890" w:rsidP="0078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0928" w14:textId="77777777" w:rsidR="00047A64" w:rsidRDefault="00047A64" w:rsidP="00047A64">
    <w:pPr>
      <w:pStyle w:val="Footer"/>
      <w:jc w:val="center"/>
      <w:rPr>
        <w:rFonts w:ascii="Calibri Light" w:hAnsi="Calibri Light"/>
        <w:color w:val="800000"/>
        <w:sz w:val="20"/>
        <w:szCs w:val="20"/>
      </w:rPr>
    </w:pPr>
    <w:r>
      <w:rPr>
        <w:rFonts w:ascii="Calibri Light" w:hAnsi="Calibri Light"/>
        <w:color w:val="800000"/>
        <w:sz w:val="20"/>
        <w:szCs w:val="20"/>
      </w:rPr>
      <w:t>______________________________________________________________________________________________________</w:t>
    </w:r>
  </w:p>
  <w:p w14:paraId="30B93C2B" w14:textId="77777777" w:rsidR="00047A64" w:rsidRPr="00047A64"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Palatul de Justiție, București, Sector 5, Splaiul Independenței nr. 5, Cod poștal 050091</w:t>
    </w:r>
  </w:p>
  <w:p w14:paraId="4D460208" w14:textId="77777777" w:rsidR="00047A64" w:rsidRPr="00047A64"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Tel: (+4) 021/316-0739; 316-0740; 313-4875; Fax: (+4) 021/313-4880;</w:t>
    </w:r>
  </w:p>
  <w:p w14:paraId="11C8C088" w14:textId="77777777" w:rsidR="0078639A" w:rsidRDefault="00047A64" w:rsidP="00047A64">
    <w:pPr>
      <w:pStyle w:val="Footer"/>
      <w:jc w:val="center"/>
      <w:rPr>
        <w:rFonts w:ascii="Calibri Light" w:hAnsi="Calibri Light"/>
        <w:color w:val="800000"/>
        <w:sz w:val="20"/>
        <w:szCs w:val="20"/>
      </w:rPr>
    </w:pPr>
    <w:r w:rsidRPr="00047A64">
      <w:rPr>
        <w:rFonts w:ascii="Calibri Light" w:hAnsi="Calibri Light"/>
        <w:color w:val="800000"/>
        <w:sz w:val="20"/>
        <w:szCs w:val="20"/>
      </w:rPr>
      <w:t>E-mail: unbr@unbr.ro; Website: www.unbr.ro</w:t>
    </w:r>
  </w:p>
  <w:p w14:paraId="5D8EC9CB" w14:textId="77777777" w:rsidR="00047A64" w:rsidRPr="006101BC" w:rsidRDefault="006101BC" w:rsidP="006101BC">
    <w:pPr>
      <w:pStyle w:val="Footer"/>
      <w:jc w:val="center"/>
      <w:rPr>
        <w:rFonts w:ascii="Calibri Light" w:hAnsi="Calibri Light"/>
        <w:color w:val="800000"/>
        <w:sz w:val="20"/>
        <w:szCs w:val="20"/>
      </w:rPr>
    </w:pPr>
    <w:r w:rsidRPr="006101BC">
      <w:rPr>
        <w:rFonts w:ascii="Calibri Light" w:hAnsi="Calibri Light"/>
        <w:color w:val="800000"/>
        <w:sz w:val="20"/>
        <w:szCs w:val="20"/>
      </w:rPr>
      <w:t>U.N.B.R. este operator de date personale înregistrat sub nr.: 34779, 34781, 34782, 34783.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113E" w14:textId="77777777" w:rsidR="002F5890" w:rsidRDefault="002F5890" w:rsidP="0078639A">
      <w:r>
        <w:separator/>
      </w:r>
    </w:p>
  </w:footnote>
  <w:footnote w:type="continuationSeparator" w:id="0">
    <w:p w14:paraId="29C9D456" w14:textId="77777777" w:rsidR="002F5890" w:rsidRDefault="002F5890" w:rsidP="0078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FF93" w14:textId="77777777" w:rsidR="0078639A" w:rsidRDefault="00E01FF2">
    <w:pPr>
      <w:pStyle w:val="Header"/>
    </w:pPr>
    <w:r>
      <w:rPr>
        <w:noProof/>
      </w:rPr>
      <w:pict w14:anchorId="666F9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style="position:absolute;margin-left:-28.6pt;margin-top:0;width:487.5pt;height:94.5pt;z-index:-251658752;visibility:visible" wrapcoords="-33 0 -33 21429 21600 21429 21600 0 -33 0">
          <v:imagedata r:id="rId1" o:title="Antet_SUS_1"/>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4C0"/>
    <w:multiLevelType w:val="hybridMultilevel"/>
    <w:tmpl w:val="6088A4BA"/>
    <w:lvl w:ilvl="0" w:tplc="AD1A45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CA6E8D"/>
    <w:multiLevelType w:val="hybridMultilevel"/>
    <w:tmpl w:val="F3EEB368"/>
    <w:lvl w:ilvl="0" w:tplc="4DC014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72274"/>
    <w:multiLevelType w:val="hybridMultilevel"/>
    <w:tmpl w:val="5F66442A"/>
    <w:lvl w:ilvl="0" w:tplc="C2AE3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D67AC"/>
    <w:multiLevelType w:val="hybridMultilevel"/>
    <w:tmpl w:val="E6668FBC"/>
    <w:lvl w:ilvl="0" w:tplc="0784A54C">
      <w:numFmt w:val="bullet"/>
      <w:lvlText w:val="-"/>
      <w:lvlJc w:val="left"/>
      <w:pPr>
        <w:ind w:left="1068" w:hanging="360"/>
      </w:pPr>
      <w:rPr>
        <w:rFonts w:ascii="Palatino Linotype" w:eastAsia="Calibri" w:hAnsi="Palatino Linotype"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7CEB110F"/>
    <w:multiLevelType w:val="hybridMultilevel"/>
    <w:tmpl w:val="62443A00"/>
    <w:lvl w:ilvl="0" w:tplc="2376DCDC">
      <w:start w:val="22"/>
      <w:numFmt w:val="bullet"/>
      <w:lvlText w:val="-"/>
      <w:lvlJc w:val="left"/>
      <w:pPr>
        <w:ind w:left="1065" w:hanging="360"/>
      </w:pPr>
      <w:rPr>
        <w:rFonts w:ascii="Arial Narrow" w:eastAsia="Calibri" w:hAnsi="Arial Narrow"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39A"/>
    <w:rsid w:val="00003381"/>
    <w:rsid w:val="00035291"/>
    <w:rsid w:val="00047A64"/>
    <w:rsid w:val="00063053"/>
    <w:rsid w:val="00076674"/>
    <w:rsid w:val="0007736B"/>
    <w:rsid w:val="0008259F"/>
    <w:rsid w:val="000A2141"/>
    <w:rsid w:val="00143B81"/>
    <w:rsid w:val="0015180E"/>
    <w:rsid w:val="00165115"/>
    <w:rsid w:val="00196F8B"/>
    <w:rsid w:val="001C4D2D"/>
    <w:rsid w:val="001E1290"/>
    <w:rsid w:val="00201673"/>
    <w:rsid w:val="00204D0A"/>
    <w:rsid w:val="002125A9"/>
    <w:rsid w:val="00230CAC"/>
    <w:rsid w:val="00236874"/>
    <w:rsid w:val="00256680"/>
    <w:rsid w:val="00277ABD"/>
    <w:rsid w:val="002917A1"/>
    <w:rsid w:val="002B1F9B"/>
    <w:rsid w:val="002D2E3C"/>
    <w:rsid w:val="002D4F90"/>
    <w:rsid w:val="002F1109"/>
    <w:rsid w:val="002F5890"/>
    <w:rsid w:val="003426FA"/>
    <w:rsid w:val="00342B0B"/>
    <w:rsid w:val="00353AEB"/>
    <w:rsid w:val="004263DB"/>
    <w:rsid w:val="00454A0F"/>
    <w:rsid w:val="004958B5"/>
    <w:rsid w:val="004A3A17"/>
    <w:rsid w:val="004B0114"/>
    <w:rsid w:val="004B4EE9"/>
    <w:rsid w:val="004F076E"/>
    <w:rsid w:val="006101BC"/>
    <w:rsid w:val="00621A58"/>
    <w:rsid w:val="00624227"/>
    <w:rsid w:val="006947EB"/>
    <w:rsid w:val="006C1980"/>
    <w:rsid w:val="007218E6"/>
    <w:rsid w:val="00733B45"/>
    <w:rsid w:val="00752A7B"/>
    <w:rsid w:val="0078639A"/>
    <w:rsid w:val="007C15BA"/>
    <w:rsid w:val="007D1743"/>
    <w:rsid w:val="00806710"/>
    <w:rsid w:val="00824452"/>
    <w:rsid w:val="008439AA"/>
    <w:rsid w:val="008A1BD2"/>
    <w:rsid w:val="008F6D06"/>
    <w:rsid w:val="00904CFB"/>
    <w:rsid w:val="00953E86"/>
    <w:rsid w:val="0097380A"/>
    <w:rsid w:val="00985B5E"/>
    <w:rsid w:val="00993DC2"/>
    <w:rsid w:val="00993FFC"/>
    <w:rsid w:val="009A4ED8"/>
    <w:rsid w:val="009B51A6"/>
    <w:rsid w:val="009D5767"/>
    <w:rsid w:val="00A02672"/>
    <w:rsid w:val="00A10D78"/>
    <w:rsid w:val="00A439D6"/>
    <w:rsid w:val="00A46726"/>
    <w:rsid w:val="00A90332"/>
    <w:rsid w:val="00AA7421"/>
    <w:rsid w:val="00AC558C"/>
    <w:rsid w:val="00AD0024"/>
    <w:rsid w:val="00B71F38"/>
    <w:rsid w:val="00B850AC"/>
    <w:rsid w:val="00B85FB2"/>
    <w:rsid w:val="00BC1CD5"/>
    <w:rsid w:val="00BE3CE8"/>
    <w:rsid w:val="00C07F79"/>
    <w:rsid w:val="00C3042D"/>
    <w:rsid w:val="00CC0C77"/>
    <w:rsid w:val="00CC7611"/>
    <w:rsid w:val="00CD2127"/>
    <w:rsid w:val="00CF4B41"/>
    <w:rsid w:val="00D37C72"/>
    <w:rsid w:val="00D47470"/>
    <w:rsid w:val="00D55256"/>
    <w:rsid w:val="00D74C27"/>
    <w:rsid w:val="00DA065E"/>
    <w:rsid w:val="00E01FF2"/>
    <w:rsid w:val="00E04042"/>
    <w:rsid w:val="00E6304B"/>
    <w:rsid w:val="00E73F42"/>
    <w:rsid w:val="00E94EEF"/>
    <w:rsid w:val="00EC0602"/>
    <w:rsid w:val="00F325B0"/>
    <w:rsid w:val="00F72398"/>
    <w:rsid w:val="00F85E77"/>
    <w:rsid w:val="00FA26E8"/>
    <w:rsid w:val="00FB37D7"/>
    <w:rsid w:val="00FF142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76A5415"/>
  <w15:chartTrackingRefBased/>
  <w15:docId w15:val="{30F90FB4-DDF1-4A9D-9038-A72FC969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59F"/>
    <w:rPr>
      <w:sz w:val="24"/>
      <w:szCs w:val="24"/>
      <w:lang w:eastAsia="en-US"/>
    </w:rPr>
  </w:style>
  <w:style w:type="paragraph" w:styleId="Heading1">
    <w:name w:val="heading 1"/>
    <w:basedOn w:val="Normal"/>
    <w:next w:val="Normal"/>
    <w:link w:val="Heading1Char"/>
    <w:qFormat/>
    <w:rsid w:val="0008259F"/>
    <w:pPr>
      <w:keepNext/>
      <w:jc w:val="center"/>
      <w:outlineLvl w:val="0"/>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259F"/>
    <w:rPr>
      <w:rFonts w:ascii="Tahoma" w:eastAsia="Times New Roman" w:hAnsi="Tahoma" w:cs="Tahoma"/>
      <w:b/>
      <w:bCs/>
      <w:sz w:val="24"/>
      <w:szCs w:val="24"/>
      <w:u w:val="single"/>
      <w:lang w:eastAsia="zh-CN"/>
    </w:rPr>
  </w:style>
  <w:style w:type="table" w:styleId="TableGrid">
    <w:name w:val="Table Grid"/>
    <w:basedOn w:val="TableNormal"/>
    <w:rsid w:val="0008259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639A"/>
    <w:pPr>
      <w:tabs>
        <w:tab w:val="center" w:pos="4703"/>
        <w:tab w:val="right" w:pos="9406"/>
      </w:tabs>
    </w:pPr>
  </w:style>
  <w:style w:type="character" w:customStyle="1" w:styleId="HeaderChar">
    <w:name w:val="Header Char"/>
    <w:basedOn w:val="DefaultParagraphFont"/>
    <w:link w:val="Header"/>
    <w:rsid w:val="0078639A"/>
  </w:style>
  <w:style w:type="paragraph" w:styleId="Footer">
    <w:name w:val="footer"/>
    <w:basedOn w:val="Normal"/>
    <w:link w:val="FooterChar"/>
    <w:rsid w:val="0078639A"/>
    <w:pPr>
      <w:tabs>
        <w:tab w:val="center" w:pos="4703"/>
        <w:tab w:val="right" w:pos="9406"/>
      </w:tabs>
    </w:pPr>
  </w:style>
  <w:style w:type="character" w:customStyle="1" w:styleId="FooterChar">
    <w:name w:val="Footer Char"/>
    <w:basedOn w:val="DefaultParagraphFont"/>
    <w:link w:val="Footer"/>
    <w:rsid w:val="0078639A"/>
  </w:style>
  <w:style w:type="paragraph" w:styleId="BalloonText">
    <w:name w:val="Balloon Text"/>
    <w:basedOn w:val="Normal"/>
    <w:link w:val="BalloonTextChar"/>
    <w:rsid w:val="0078639A"/>
    <w:rPr>
      <w:rFonts w:ascii="Tahoma" w:hAnsi="Tahoma" w:cs="Tahoma"/>
      <w:sz w:val="16"/>
      <w:szCs w:val="16"/>
    </w:rPr>
  </w:style>
  <w:style w:type="character" w:customStyle="1" w:styleId="BalloonTextChar">
    <w:name w:val="Balloon Text Char"/>
    <w:link w:val="BalloonText"/>
    <w:rsid w:val="0078639A"/>
    <w:rPr>
      <w:rFonts w:ascii="Tahoma" w:hAnsi="Tahoma" w:cs="Tahoma"/>
      <w:sz w:val="16"/>
      <w:szCs w:val="16"/>
    </w:rPr>
  </w:style>
  <w:style w:type="character" w:styleId="Hyperlink">
    <w:name w:val="Hyperlink"/>
    <w:rsid w:val="00047A64"/>
    <w:rPr>
      <w:color w:val="0563C1"/>
      <w:u w:val="single"/>
    </w:rPr>
  </w:style>
  <w:style w:type="paragraph" w:styleId="PlainText">
    <w:name w:val="Plain Text"/>
    <w:basedOn w:val="Normal"/>
    <w:link w:val="PlainTextChar"/>
    <w:uiPriority w:val="99"/>
    <w:unhideWhenUsed/>
    <w:rsid w:val="004B4EE9"/>
    <w:rPr>
      <w:rFonts w:ascii="Calibri" w:hAnsi="Calibri" w:cs="Calibri"/>
      <w:sz w:val="22"/>
      <w:szCs w:val="22"/>
      <w:lang w:val="en-GB" w:eastAsia="en-GB"/>
    </w:rPr>
  </w:style>
  <w:style w:type="character" w:customStyle="1" w:styleId="PlainTextChar">
    <w:name w:val="Plain Text Char"/>
    <w:link w:val="PlainText"/>
    <w:uiPriority w:val="99"/>
    <w:rsid w:val="004B4EE9"/>
    <w:rPr>
      <w:rFonts w:ascii="Calibri" w:hAnsi="Calibri" w:cs="Calibri"/>
      <w:sz w:val="22"/>
      <w:szCs w:val="22"/>
      <w:lang w:val="en-GB" w:eastAsia="en-GB"/>
    </w:rPr>
  </w:style>
  <w:style w:type="paragraph" w:styleId="ListParagraph">
    <w:name w:val="List Paragraph"/>
    <w:basedOn w:val="Normal"/>
    <w:uiPriority w:val="34"/>
    <w:qFormat/>
    <w:rsid w:val="00063053"/>
    <w:pPr>
      <w:spacing w:after="200" w:line="276" w:lineRule="auto"/>
      <w:ind w:left="720"/>
      <w:contextualSpacing/>
    </w:pPr>
    <w:rPr>
      <w:rFonts w:ascii="Calibri" w:hAnsi="Calibri"/>
      <w:sz w:val="22"/>
      <w:szCs w:val="22"/>
      <w:lang w:val="en-US"/>
    </w:rPr>
  </w:style>
  <w:style w:type="paragraph" w:customStyle="1" w:styleId="Default">
    <w:name w:val="Default"/>
    <w:rsid w:val="001C4D2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fe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841F0-0B8F-49EB-A2D4-BC2F73BA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2489</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2913</CharactersWithSpaces>
  <SharedDoc>false</SharedDoc>
  <HLinks>
    <vt:vector size="6" baseType="variant">
      <vt:variant>
        <vt:i4>6684724</vt:i4>
      </vt:variant>
      <vt:variant>
        <vt:i4>0</vt:i4>
      </vt:variant>
      <vt:variant>
        <vt:i4>0</vt:i4>
      </vt:variant>
      <vt:variant>
        <vt:i4>5</vt:i4>
      </vt:variant>
      <vt:variant>
        <vt:lpwstr>http://www.ifep.ro/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dc:creator>
  <cp:keywords/>
  <cp:lastModifiedBy>Sandu Gherasim</cp:lastModifiedBy>
  <cp:revision>2</cp:revision>
  <cp:lastPrinted>2020-04-03T10:34:00Z</cp:lastPrinted>
  <dcterms:created xsi:type="dcterms:W3CDTF">2020-04-03T13:57:00Z</dcterms:created>
  <dcterms:modified xsi:type="dcterms:W3CDTF">2020-04-03T13:57:00Z</dcterms:modified>
</cp:coreProperties>
</file>