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Black" w:hAnsi="Arial Black" w:cs="Arial Black" w:eastAsia="Arial Black"/>
          <w:b/>
          <w:color w:val="auto"/>
          <w:spacing w:val="0"/>
          <w:position w:val="0"/>
          <w:sz w:val="32"/>
          <w:shd w:fill="auto" w:val="clear"/>
        </w:rPr>
      </w:pPr>
      <w:r>
        <w:rPr>
          <w:rFonts w:ascii="Arial Black" w:hAnsi="Arial Black" w:cs="Arial Black" w:eastAsia="Arial Black"/>
          <w:b/>
          <w:color w:val="auto"/>
          <w:spacing w:val="0"/>
          <w:position w:val="0"/>
          <w:sz w:val="32"/>
          <w:shd w:fill="auto" w:val="clear"/>
        </w:rPr>
        <w:t xml:space="preserve">UNIUNEA NA</w:t>
      </w:r>
      <w:r>
        <w:rPr>
          <w:rFonts w:ascii="Arial Black" w:hAnsi="Arial Black" w:cs="Arial Black" w:eastAsia="Arial Black"/>
          <w:b/>
          <w:color w:val="auto"/>
          <w:spacing w:val="0"/>
          <w:position w:val="0"/>
          <w:sz w:val="32"/>
          <w:shd w:fill="auto" w:val="clear"/>
        </w:rPr>
        <w:t xml:space="preserve">ŢIONALĂ A BAROURILOR DIN ROMÂNIA</w:t>
      </w:r>
    </w:p>
    <w:p>
      <w:pPr>
        <w:spacing w:before="0" w:after="0" w:line="240"/>
        <w:ind w:right="0" w:left="0" w:firstLine="0"/>
        <w:jc w:val="center"/>
        <w:rPr>
          <w:rFonts w:ascii="Trebuchet MS" w:hAnsi="Trebuchet MS" w:cs="Trebuchet MS" w:eastAsia="Trebuchet MS"/>
          <w:b/>
          <w:i/>
          <w:color w:val="auto"/>
          <w:spacing w:val="0"/>
          <w:position w:val="0"/>
          <w:sz w:val="38"/>
          <w:shd w:fill="auto" w:val="clear"/>
        </w:rPr>
      </w:pPr>
      <w:r>
        <w:rPr>
          <w:rFonts w:ascii="Trebuchet MS" w:hAnsi="Trebuchet MS" w:cs="Trebuchet MS" w:eastAsia="Trebuchet MS"/>
          <w:b/>
          <w:i/>
          <w:color w:val="auto"/>
          <w:spacing w:val="0"/>
          <w:position w:val="0"/>
          <w:sz w:val="38"/>
          <w:shd w:fill="auto" w:val="clear"/>
        </w:rPr>
        <w:t xml:space="preserve">Consiliul Uniunii</w:t>
      </w:r>
    </w:p>
    <w:p>
      <w:pPr>
        <w:spacing w:before="0" w:after="0" w:line="240"/>
        <w:ind w:right="0" w:left="0" w:firstLine="0"/>
        <w:jc w:val="center"/>
        <w:rPr>
          <w:rFonts w:ascii="Trebuchet MS" w:hAnsi="Trebuchet MS" w:cs="Trebuchet MS" w:eastAsia="Trebuchet MS"/>
          <w:b/>
          <w:color w:val="auto"/>
          <w:spacing w:val="0"/>
          <w:position w:val="0"/>
          <w:sz w:val="24"/>
          <w:u w:val="single"/>
          <w:shd w:fill="auto" w:val="clear"/>
        </w:rPr>
      </w:pPr>
    </w:p>
    <w:p>
      <w:pPr>
        <w:spacing w:before="0" w:after="0" w:line="240"/>
        <w:ind w:right="0" w:left="0" w:firstLine="0"/>
        <w:jc w:val="center"/>
        <w:rPr>
          <w:rFonts w:ascii="Trebuchet MS" w:hAnsi="Trebuchet MS" w:cs="Trebuchet MS" w:eastAsia="Trebuchet MS"/>
          <w:b/>
          <w:color w:val="auto"/>
          <w:spacing w:val="0"/>
          <w:position w:val="0"/>
          <w:sz w:val="24"/>
          <w:u w:val="single"/>
          <w:shd w:fill="auto" w:val="clear"/>
        </w:rPr>
      </w:pPr>
    </w:p>
    <w:p>
      <w:pPr>
        <w:spacing w:before="0" w:after="0" w:line="240"/>
        <w:ind w:right="0" w:left="0" w:firstLine="0"/>
        <w:jc w:val="center"/>
        <w:rPr>
          <w:rFonts w:ascii="Arial" w:hAnsi="Arial" w:cs="Arial" w:eastAsia="Arial"/>
          <w:b/>
          <w:color w:val="auto"/>
          <w:spacing w:val="20"/>
          <w:position w:val="0"/>
          <w:sz w:val="32"/>
          <w:shd w:fill="auto" w:val="clear"/>
        </w:rPr>
      </w:pPr>
    </w:p>
    <w:p>
      <w:pPr>
        <w:spacing w:before="0" w:after="0" w:line="240"/>
        <w:ind w:right="0" w:left="0" w:firstLine="0"/>
        <w:jc w:val="center"/>
        <w:rPr>
          <w:rFonts w:ascii="Arial" w:hAnsi="Arial" w:cs="Arial" w:eastAsia="Arial"/>
          <w:b/>
          <w:color w:val="auto"/>
          <w:spacing w:val="20"/>
          <w:position w:val="0"/>
          <w:sz w:val="32"/>
          <w:shd w:fill="auto" w:val="clear"/>
        </w:rPr>
      </w:pPr>
      <w:r>
        <w:rPr>
          <w:rFonts w:ascii="Arial" w:hAnsi="Arial" w:cs="Arial" w:eastAsia="Arial"/>
          <w:b/>
          <w:color w:val="auto"/>
          <w:spacing w:val="20"/>
          <w:position w:val="0"/>
          <w:sz w:val="32"/>
          <w:shd w:fill="auto" w:val="clear"/>
        </w:rPr>
        <w:t xml:space="preserve">HOT</w:t>
      </w:r>
      <w:r>
        <w:rPr>
          <w:rFonts w:ascii="Arial" w:hAnsi="Arial" w:cs="Arial" w:eastAsia="Arial"/>
          <w:b/>
          <w:color w:val="auto"/>
          <w:spacing w:val="20"/>
          <w:position w:val="0"/>
          <w:sz w:val="32"/>
          <w:shd w:fill="auto" w:val="clear"/>
        </w:rPr>
        <w:t xml:space="preserve">ĂRÂREA Nr. 400/08.12.2018</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privind organizarea examenului de primire în profesie </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sesiunea martie 2019 -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În conformitate cu prevederile art. 17 alin. (1), art. 65 lit. i) din Legea nr. 51/1995 pentru organizarea și exercitarea profesiei de avocat, republicat</w:t>
      </w:r>
      <w:r>
        <w:rPr>
          <w:rFonts w:ascii="Arial" w:hAnsi="Arial" w:cs="Arial" w:eastAsia="Arial"/>
          <w:color w:val="auto"/>
          <w:spacing w:val="0"/>
          <w:position w:val="0"/>
          <w:sz w:val="24"/>
          <w:shd w:fill="auto" w:val="clear"/>
        </w:rPr>
        <w:t xml:space="preserve">ă (denumită în continuare Lege) și ale art. 33 - 37 din Statutul profesiei de avocat, cu modificările și completările ulterioare (denumit în continuare Statut),</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Consiliul U.N.B.R., întrunit în ședința din 8 decembrie 2018, la cererea barourilor, adopt</w:t>
      </w:r>
      <w:r>
        <w:rPr>
          <w:rFonts w:ascii="Arial" w:hAnsi="Arial" w:cs="Arial" w:eastAsia="Arial"/>
          <w:color w:val="auto"/>
          <w:spacing w:val="0"/>
          <w:position w:val="0"/>
          <w:sz w:val="24"/>
          <w:shd w:fill="auto" w:val="clear"/>
        </w:rPr>
        <w:t xml:space="preserve">ă prezenta </w:t>
      </w:r>
    </w:p>
    <w:p>
      <w:pPr>
        <w:spacing w:before="0" w:after="0" w:line="240"/>
        <w:ind w:right="0" w:left="0" w:firstLine="0"/>
        <w:jc w:val="both"/>
        <w:rPr>
          <w:rFonts w:ascii="Arial" w:hAnsi="Arial" w:cs="Arial" w:eastAsia="Arial"/>
          <w:color w:val="auto"/>
          <w:spacing w:val="0"/>
          <w:position w:val="0"/>
          <w:sz w:val="26"/>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HOT</w:t>
      </w:r>
      <w:r>
        <w:rPr>
          <w:rFonts w:ascii="Arial" w:hAnsi="Arial" w:cs="Arial" w:eastAsia="Arial"/>
          <w:b/>
          <w:color w:val="auto"/>
          <w:spacing w:val="0"/>
          <w:position w:val="0"/>
          <w:sz w:val="32"/>
          <w:shd w:fill="auto" w:val="clear"/>
        </w:rPr>
        <w:t xml:space="preserve">ĂRÂRE: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w:t>
      </w:r>
      <w:r>
        <w:rPr>
          <w:rFonts w:ascii="Arial" w:hAnsi="Arial" w:cs="Arial" w:eastAsia="Arial"/>
          <w:color w:val="auto"/>
          <w:spacing w:val="0"/>
          <w:position w:val="0"/>
          <w:sz w:val="24"/>
          <w:shd w:fill="auto" w:val="clear"/>
        </w:rPr>
        <w:t xml:space="preserve"> – Se organizeaz</w:t>
      </w:r>
      <w:r>
        <w:rPr>
          <w:rFonts w:ascii="Arial" w:hAnsi="Arial" w:cs="Arial" w:eastAsia="Arial"/>
          <w:color w:val="auto"/>
          <w:spacing w:val="0"/>
          <w:position w:val="0"/>
          <w:sz w:val="24"/>
          <w:shd w:fill="auto" w:val="clear"/>
        </w:rPr>
        <w:t xml:space="preserve">ă examenul de primire în profesia de avocat şi admitere în cadrul Institutului Naţional pentru Pregătirea şi Perfecţionarea Avocaţilor (în vederea dobândirii titlului profesional de avocat stagiar) şi de primire în profesia de avocat a persoanelor care au absolvit examenul de definitivat în alte profesii juridice în sesiunea martie 2019, la data de </w:t>
      </w:r>
      <w:r>
        <w:rPr>
          <w:rFonts w:ascii="Arial" w:hAnsi="Arial" w:cs="Arial" w:eastAsia="Arial"/>
          <w:b/>
          <w:color w:val="auto"/>
          <w:spacing w:val="0"/>
          <w:position w:val="0"/>
          <w:sz w:val="24"/>
          <w:shd w:fill="auto" w:val="clear"/>
        </w:rPr>
        <w:t xml:space="preserve">03 martie 2019</w:t>
      </w:r>
      <w:r>
        <w:rPr>
          <w:rFonts w:ascii="Arial" w:hAnsi="Arial" w:cs="Arial" w:eastAsia="Arial"/>
          <w:color w:val="auto"/>
          <w:spacing w:val="0"/>
          <w:position w:val="0"/>
          <w:sz w:val="24"/>
          <w:shd w:fill="auto" w:val="clear"/>
        </w:rPr>
        <w:t xml:space="preserve">.</w:t>
      </w:r>
    </w:p>
    <w:p>
      <w:pPr>
        <w:spacing w:before="0" w:after="0" w:line="240"/>
        <w:ind w:right="0" w:left="0" w:firstLine="708"/>
        <w:jc w:val="both"/>
        <w:rPr>
          <w:rFonts w:ascii="Arial" w:hAnsi="Arial" w:cs="Arial" w:eastAsia="Arial"/>
          <w:color w:val="auto"/>
          <w:spacing w:val="0"/>
          <w:position w:val="0"/>
          <w:sz w:val="24"/>
          <w:shd w:fill="auto" w:val="clear"/>
        </w:rPr>
      </w:pP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Art.2.</w:t>
      </w:r>
      <w:r>
        <w:rPr>
          <w:rFonts w:ascii="Arial" w:hAnsi="Arial" w:cs="Arial" w:eastAsia="Arial"/>
          <w:color w:val="auto"/>
          <w:spacing w:val="0"/>
          <w:position w:val="0"/>
          <w:sz w:val="24"/>
          <w:shd w:fill="auto" w:val="clear"/>
        </w:rPr>
        <w:t xml:space="preserve"> - </w:t>
      </w:r>
      <w:r>
        <w:rPr>
          <w:rFonts w:ascii="Arial" w:hAnsi="Arial" w:cs="Arial" w:eastAsia="Arial"/>
          <w:b/>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Examenul se va susține în mod unitar, în cadrul Institutului Național pentru Preg</w:t>
      </w:r>
      <w:r>
        <w:rPr>
          <w:rFonts w:ascii="Arial" w:hAnsi="Arial" w:cs="Arial" w:eastAsia="Arial"/>
          <w:color w:val="auto"/>
          <w:spacing w:val="0"/>
          <w:position w:val="0"/>
          <w:sz w:val="24"/>
          <w:shd w:fill="auto" w:val="clear"/>
        </w:rPr>
        <w:t xml:space="preserve">ătirea și Perfecționarea Avocaților - I.N.P.P.A. (în continuare I.N.P.P.A.) și se va desfășura prin I.N.P.P.A. cu sediul în București, strada Vulturilor nr. 23, sector 3. </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 Tematica de examen, Regulamentul de examen, taxa de examen și toate regulile de desf</w:t>
      </w:r>
      <w:r>
        <w:rPr>
          <w:rFonts w:ascii="Arial" w:hAnsi="Arial" w:cs="Arial" w:eastAsia="Arial"/>
          <w:color w:val="auto"/>
          <w:spacing w:val="0"/>
          <w:position w:val="0"/>
          <w:sz w:val="24"/>
          <w:shd w:fill="auto" w:val="clear"/>
        </w:rPr>
        <w:t xml:space="preserve">ășurare rămân cele prevăzute în Hotărârile Consiliului U.N.B.R. nr. 367/22.06.2018, 368/22.06.2018, 369/22.06.2018.</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3.</w:t>
      </w:r>
      <w:r>
        <w:rPr>
          <w:rFonts w:ascii="Arial" w:hAnsi="Arial" w:cs="Arial" w:eastAsia="Arial"/>
          <w:color w:val="auto"/>
          <w:spacing w:val="0"/>
          <w:position w:val="0"/>
          <w:sz w:val="24"/>
          <w:shd w:fill="auto" w:val="clear"/>
        </w:rPr>
        <w:t xml:space="preserve"> – </w:t>
      </w:r>
      <w:r>
        <w:rPr>
          <w:rFonts w:ascii="Arial" w:hAnsi="Arial" w:cs="Arial" w:eastAsia="Arial"/>
          <w:b/>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Desemnarea Comisiei naționale de examen se face de c</w:t>
      </w:r>
      <w:r>
        <w:rPr>
          <w:rFonts w:ascii="Arial" w:hAnsi="Arial" w:cs="Arial" w:eastAsia="Arial"/>
          <w:color w:val="auto"/>
          <w:spacing w:val="0"/>
          <w:position w:val="0"/>
          <w:sz w:val="24"/>
          <w:shd w:fill="auto" w:val="clear"/>
        </w:rPr>
        <w:t xml:space="preserve">ătre Comisia Permanentă a U.N.B.R., pe baza propunerilor barourilor, conform Regulamentului de examen. Lista de propuneri va cuprinde mențiuni exprese privind vechimea în profesia de avocat a celui propus și situația în care acesta este  și "</w:t>
      </w:r>
      <w:r>
        <w:rPr>
          <w:rFonts w:ascii="Arial" w:hAnsi="Arial" w:cs="Arial" w:eastAsia="Arial"/>
          <w:i/>
          <w:color w:val="auto"/>
          <w:spacing w:val="0"/>
          <w:position w:val="0"/>
          <w:sz w:val="24"/>
          <w:shd w:fill="auto" w:val="clear"/>
        </w:rPr>
        <w:t xml:space="preserve">cadru didactic universitar</w:t>
      </w:r>
      <w:r>
        <w:rPr>
          <w:rFonts w:ascii="Arial" w:hAnsi="Arial" w:cs="Arial" w:eastAsia="Arial"/>
          <w:color w:val="auto"/>
          <w:spacing w:val="0"/>
          <w:position w:val="0"/>
          <w:sz w:val="24"/>
          <w:shd w:fill="auto" w:val="clear"/>
        </w:rPr>
        <w:t xml:space="preserve">" la Facultățile de drept în cadrul cărora funcționează școli doctorale.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 La formularea propunerilor se vor avea în vedere prevederile art. 17 alin. (4) al Legii nr. 51/1995 și prevederile Regulamentului de examen susmenționat. Propunerile se vor face distinct pentru fiecare dintre comisiile prev</w:t>
      </w:r>
      <w:r>
        <w:rPr>
          <w:rFonts w:ascii="Arial" w:hAnsi="Arial" w:cs="Arial" w:eastAsia="Arial"/>
          <w:color w:val="auto"/>
          <w:spacing w:val="0"/>
          <w:position w:val="0"/>
          <w:sz w:val="24"/>
          <w:shd w:fill="auto" w:val="clear"/>
        </w:rPr>
        <w:t xml:space="preserve">ăzute de Regulament.</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(3)</w:t>
      </w:r>
      <w:r>
        <w:rPr>
          <w:rFonts w:ascii="Arial" w:hAnsi="Arial" w:cs="Arial" w:eastAsia="Arial"/>
          <w:color w:val="auto"/>
          <w:spacing w:val="0"/>
          <w:position w:val="0"/>
          <w:sz w:val="24"/>
          <w:shd w:fill="auto" w:val="clear"/>
        </w:rPr>
        <w:t xml:space="preserve"> Propunerile barourilor vor fi transmise spre avizare la centrele teritoriale I.N.P.P.A., care, dup</w:t>
      </w:r>
      <w:r>
        <w:rPr>
          <w:rFonts w:ascii="Arial" w:hAnsi="Arial" w:cs="Arial" w:eastAsia="Arial"/>
          <w:color w:val="auto"/>
          <w:spacing w:val="0"/>
          <w:position w:val="0"/>
          <w:sz w:val="24"/>
          <w:shd w:fill="auto" w:val="clear"/>
        </w:rPr>
        <w:t xml:space="preserve">ă confruntarea acestora cu evidențele de care dispun, vor remite I.N.P.P.A., până la data de 25 ianuarie 2019, propunerile avizate privind membrii Comisiei naționale de examen, având în vedere și experiența anterioară a celor propuși.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La data de 29 ianuarie 2019 I.N.P.P.A. va transmite la U.N.B.R. propunerile centralizate. La data de 2-3 februarie 2019, la convocarea Președintelui U.N.B.R., va avea loc ședința Comisiei Permanente a U.N.B.R. pentru desemnarea Comisiei naționale de examen. Desemnarea Comisiei naționale de examen se va face prin aplicarea cu prioritate a dispozițiilor art. 17 alin. (4)  din Lege care reglementeaz</w:t>
      </w:r>
      <w:r>
        <w:rPr>
          <w:rFonts w:ascii="Arial" w:hAnsi="Arial" w:cs="Arial" w:eastAsia="Arial"/>
          <w:color w:val="auto"/>
          <w:spacing w:val="0"/>
          <w:position w:val="0"/>
          <w:sz w:val="24"/>
          <w:shd w:fill="auto" w:val="clear"/>
        </w:rPr>
        <w:t xml:space="preserve">ă constituirea comisiei "</w:t>
      </w:r>
      <w:r>
        <w:rPr>
          <w:rFonts w:ascii="Arial" w:hAnsi="Arial" w:cs="Arial" w:eastAsia="Arial"/>
          <w:i/>
          <w:color w:val="auto"/>
          <w:spacing w:val="0"/>
          <w:position w:val="0"/>
          <w:sz w:val="24"/>
          <w:shd w:fill="auto" w:val="clear"/>
        </w:rPr>
        <w:t xml:space="preserve">cu precădere - din avocați cadre didactice universitare cu vechimea de minim 10 ani în profesia de avocat</w:t>
      </w:r>
      <w:r>
        <w:rPr>
          <w:rFonts w:ascii="Arial" w:hAnsi="Arial" w:cs="Arial" w:eastAsia="Arial"/>
          <w:color w:val="auto"/>
          <w:spacing w:val="0"/>
          <w:position w:val="0"/>
          <w:sz w:val="24"/>
          <w:shd w:fill="auto" w:val="clear"/>
        </w:rPr>
        <w:t xml:space="preserve">". Dispozițiile art. 33 alin. (5) din Statut care consacră compunerea "</w:t>
      </w:r>
      <w:r>
        <w:rPr>
          <w:rFonts w:ascii="Arial" w:hAnsi="Arial" w:cs="Arial" w:eastAsia="Arial"/>
          <w:i/>
          <w:color w:val="auto"/>
          <w:spacing w:val="0"/>
          <w:position w:val="0"/>
          <w:sz w:val="24"/>
          <w:shd w:fill="auto" w:val="clear"/>
        </w:rPr>
        <w:t xml:space="preserve">în majoritate</w:t>
      </w:r>
      <w:r>
        <w:rPr>
          <w:rFonts w:ascii="Arial" w:hAnsi="Arial" w:cs="Arial" w:eastAsia="Arial"/>
          <w:color w:val="auto"/>
          <w:spacing w:val="0"/>
          <w:position w:val="0"/>
          <w:sz w:val="24"/>
          <w:shd w:fill="auto" w:val="clear"/>
        </w:rPr>
        <w:t xml:space="preserve">" a Comisiei de examen din avocați - cadre didactice universitare cu o vechime în profesie de 10 ani se interpretează în limitele impuse de art. 17 alin. (4)  din Lege în sensul că, în condițiile în care între cei propuși să facă parte din comisia de examen se află și avocați - cadre didactice, aceștia din urmă vor fi desemnați "</w:t>
      </w:r>
      <w:r>
        <w:rPr>
          <w:rFonts w:ascii="Arial" w:hAnsi="Arial" w:cs="Arial" w:eastAsia="Arial"/>
          <w:i/>
          <w:color w:val="auto"/>
          <w:spacing w:val="0"/>
          <w:position w:val="0"/>
          <w:sz w:val="24"/>
          <w:shd w:fill="auto" w:val="clear"/>
        </w:rPr>
        <w:t xml:space="preserve">cu precădere</w:t>
      </w: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4.</w:t>
      </w:r>
      <w:r>
        <w:rPr>
          <w:rFonts w:ascii="Arial" w:hAnsi="Arial" w:cs="Arial" w:eastAsia="Arial"/>
          <w:color w:val="auto"/>
          <w:spacing w:val="0"/>
          <w:position w:val="0"/>
          <w:sz w:val="24"/>
          <w:shd w:fill="auto" w:val="clear"/>
        </w:rPr>
        <w:t xml:space="preserve"> – </w:t>
      </w:r>
      <w:r>
        <w:rPr>
          <w:rFonts w:ascii="Arial" w:hAnsi="Arial" w:cs="Arial" w:eastAsia="Arial"/>
          <w:b/>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Cererile de înscriere a candidaților la examen se depun în intervalul 17 decembrie 2018 (ora 8.00) – 21 decembrie 2018 (ora 15.00) și 04 ianuarie (ora 8.00) - 28 ianuarie 2019 (ora 15.00) la secretariatul baroului la care candidatul urmeaz</w:t>
      </w:r>
      <w:r>
        <w:rPr>
          <w:rFonts w:ascii="Arial" w:hAnsi="Arial" w:cs="Arial" w:eastAsia="Arial"/>
          <w:color w:val="auto"/>
          <w:spacing w:val="0"/>
          <w:position w:val="0"/>
          <w:sz w:val="24"/>
          <w:shd w:fill="auto" w:val="clear"/>
        </w:rPr>
        <w:t xml:space="preserve">ă să-și desfășoare activitatea în cazul în care va fi declarat admis.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Cererile vor fi însoțite de actele prev</w:t>
      </w:r>
      <w:r>
        <w:rPr>
          <w:rFonts w:ascii="Arial" w:hAnsi="Arial" w:cs="Arial" w:eastAsia="Arial"/>
          <w:color w:val="auto"/>
          <w:spacing w:val="0"/>
          <w:position w:val="0"/>
          <w:sz w:val="24"/>
          <w:shd w:fill="auto" w:val="clear"/>
        </w:rPr>
        <w:t xml:space="preserve">ăzute în Regulamentul de examen.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În perioada 29 ianuarie 2019 – 05 februarie 2019 barourile vor verifica dosarele de înscriere la examen iar rezultatul verific</w:t>
      </w:r>
      <w:r>
        <w:rPr>
          <w:rFonts w:ascii="Arial" w:hAnsi="Arial" w:cs="Arial" w:eastAsia="Arial"/>
          <w:color w:val="auto"/>
          <w:spacing w:val="0"/>
          <w:position w:val="0"/>
          <w:sz w:val="24"/>
          <w:shd w:fill="auto" w:val="clear"/>
        </w:rPr>
        <w:t xml:space="preserve">ărilor se afișează conform prevederilor Regulamentului de examen. Contestațiile formulate de candidații cărora li s-a respins înscrierea la examen se vor soluționa în conformitate cu prevederile Regulamentului de examen.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(4)</w:t>
      </w:r>
      <w:r>
        <w:rPr>
          <w:rFonts w:ascii="Arial" w:hAnsi="Arial" w:cs="Arial" w:eastAsia="Arial"/>
          <w:color w:val="auto"/>
          <w:spacing w:val="0"/>
          <w:position w:val="0"/>
          <w:sz w:val="24"/>
          <w:shd w:fill="auto" w:val="clear"/>
        </w:rPr>
        <w:t xml:space="preserve"> În cazuri temeinic justificate, cu aprobarea Comisiei Permanente a U.N.B.R., dosarul poate fi completat cu actele ce nu au putut fi procurate din motive imprevizibile și insurmontabile, cu cel mult 5 zile înainte de data examenului.</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(5)</w:t>
      </w:r>
      <w:r>
        <w:rPr>
          <w:rFonts w:ascii="Arial" w:hAnsi="Arial" w:cs="Arial" w:eastAsia="Arial"/>
          <w:color w:val="auto"/>
          <w:spacing w:val="0"/>
          <w:position w:val="0"/>
          <w:sz w:val="24"/>
          <w:shd w:fill="auto" w:val="clear"/>
        </w:rPr>
        <w:t xml:space="preserve"> Exclusiv pentru candidații care au susținut examenul de licenț</w:t>
      </w:r>
      <w:r>
        <w:rPr>
          <w:rFonts w:ascii="Arial" w:hAnsi="Arial" w:cs="Arial" w:eastAsia="Arial"/>
          <w:color w:val="auto"/>
          <w:spacing w:val="0"/>
          <w:position w:val="0"/>
          <w:sz w:val="24"/>
          <w:shd w:fill="auto" w:val="clear"/>
        </w:rPr>
        <w:t xml:space="preserve">ă în anul universitar 2018 și numai dacă unitățile de învățământ absolvite de aceștia nu au emis diplomele de licență, se admite depunerea adeverinței de absolvire a examenului de licență, eliberată de unitatea de învățământ, în locul diplomei de licență prevăzută la art. 15 alin. 2 lit. b) din Statutul profesiei de avocat; în acest caz, nu se cere ca adeverința de absolvire să fie însoțită de foaia matricolă.</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(6)</w:t>
      </w:r>
      <w:r>
        <w:rPr>
          <w:rFonts w:ascii="Arial" w:hAnsi="Arial" w:cs="Arial" w:eastAsia="Arial"/>
          <w:color w:val="auto"/>
          <w:spacing w:val="0"/>
          <w:position w:val="0"/>
          <w:sz w:val="24"/>
          <w:shd w:fill="auto" w:val="clear"/>
        </w:rPr>
        <w:t xml:space="preserve"> Vor fi aplicabile procedurile privind protecția datelor personale, în vigoare conform dispozițiilor legale.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5.</w:t>
      </w:r>
      <w:r>
        <w:rPr>
          <w:rFonts w:ascii="Arial" w:hAnsi="Arial" w:cs="Arial" w:eastAsia="Arial"/>
          <w:color w:val="auto"/>
          <w:spacing w:val="0"/>
          <w:position w:val="0"/>
          <w:sz w:val="24"/>
          <w:shd w:fill="auto" w:val="clear"/>
        </w:rPr>
        <w:t xml:space="preserve"> – </w:t>
      </w:r>
      <w:r>
        <w:rPr>
          <w:rFonts w:ascii="Arial" w:hAnsi="Arial" w:cs="Arial" w:eastAsia="Arial"/>
          <w:b/>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Taxa de examen este de 1000 lei și se va achita în contul Institutului Național pentru Preg</w:t>
      </w:r>
      <w:r>
        <w:rPr>
          <w:rFonts w:ascii="Arial" w:hAnsi="Arial" w:cs="Arial" w:eastAsia="Arial"/>
          <w:color w:val="auto"/>
          <w:spacing w:val="0"/>
          <w:position w:val="0"/>
          <w:sz w:val="24"/>
          <w:shd w:fill="auto" w:val="clear"/>
        </w:rPr>
        <w:t xml:space="preserve">ătirea și Perfecționarea Avocaților - I.N.P.P.A. din București nr. RO56RNCB0082044172480001 deschis la B.C.R. - Sucursala Unirea - București cu mențiunea „Taxă examen primire în profesie ca avocat stagiar, sesiunea martie 2019”, respectiv „Taxă examen primire în profesie ca avocat definitiv, sesiunea martie 2019”.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 Sumele încasate cu titlu de "tax</w:t>
      </w:r>
      <w:r>
        <w:rPr>
          <w:rFonts w:ascii="Arial" w:hAnsi="Arial" w:cs="Arial" w:eastAsia="Arial"/>
          <w:color w:val="auto"/>
          <w:spacing w:val="0"/>
          <w:position w:val="0"/>
          <w:sz w:val="24"/>
          <w:shd w:fill="auto" w:val="clear"/>
        </w:rPr>
        <w:t xml:space="preserve">ă de examen" se repartizează potrivit hotărârii Consiliului U.N.B.R.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(3)</w:t>
      </w:r>
      <w:r>
        <w:rPr>
          <w:rFonts w:ascii="Arial" w:hAnsi="Arial" w:cs="Arial" w:eastAsia="Arial"/>
          <w:color w:val="auto"/>
          <w:spacing w:val="0"/>
          <w:position w:val="0"/>
          <w:sz w:val="24"/>
          <w:shd w:fill="auto" w:val="clear"/>
        </w:rPr>
        <w:t xml:space="preserve"> Este interzis</w:t>
      </w:r>
      <w:r>
        <w:rPr>
          <w:rFonts w:ascii="Arial" w:hAnsi="Arial" w:cs="Arial" w:eastAsia="Arial"/>
          <w:color w:val="auto"/>
          <w:spacing w:val="0"/>
          <w:position w:val="0"/>
          <w:sz w:val="24"/>
          <w:shd w:fill="auto" w:val="clear"/>
        </w:rPr>
        <w:t xml:space="preserve">ă perceperea de către I.N.P.P.A. sau barouri, cu orice titlu, de sume suplimentare pentru operațiuni care au legătură cu înscrierea candidaților la examen sau cu susținerea acestuia.</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(4)</w:t>
      </w:r>
      <w:r>
        <w:rPr>
          <w:rFonts w:ascii="Arial" w:hAnsi="Arial" w:cs="Arial" w:eastAsia="Arial"/>
          <w:color w:val="auto"/>
          <w:spacing w:val="0"/>
          <w:position w:val="0"/>
          <w:sz w:val="24"/>
          <w:shd w:fill="auto" w:val="clear"/>
        </w:rPr>
        <w:t xml:space="preserve"> I.N.P.P.A. va reflecta distinct în evidențele sale sumele destinate barourilor, pentru remunerarea prestațiilor specifice activit</w:t>
      </w:r>
      <w:r>
        <w:rPr>
          <w:rFonts w:ascii="Arial" w:hAnsi="Arial" w:cs="Arial" w:eastAsia="Arial"/>
          <w:color w:val="auto"/>
          <w:spacing w:val="0"/>
          <w:position w:val="0"/>
          <w:sz w:val="24"/>
          <w:shd w:fill="auto" w:val="clear"/>
        </w:rPr>
        <w:t xml:space="preserve">ăților de secretariat și de verificare a actelor de sumele ce vor fi virate centrelor I.N.P.P.A. și sumele rămase la dispoziția sa.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(5)</w:t>
      </w:r>
      <w:r>
        <w:rPr>
          <w:rFonts w:ascii="Arial" w:hAnsi="Arial" w:cs="Arial" w:eastAsia="Arial"/>
          <w:color w:val="auto"/>
          <w:spacing w:val="0"/>
          <w:position w:val="0"/>
          <w:sz w:val="24"/>
          <w:shd w:fill="auto" w:val="clear"/>
        </w:rPr>
        <w:t xml:space="preserve"> Sumele ce revin barourilor vor fi virate cel mai târziu la 7 zile dup</w:t>
      </w:r>
      <w:r>
        <w:rPr>
          <w:rFonts w:ascii="Arial" w:hAnsi="Arial" w:cs="Arial" w:eastAsia="Arial"/>
          <w:color w:val="auto"/>
          <w:spacing w:val="0"/>
          <w:position w:val="0"/>
          <w:sz w:val="24"/>
          <w:shd w:fill="auto" w:val="clear"/>
        </w:rPr>
        <w:t xml:space="preserve">ă finalizarea examenului şi soluționarea eventualelor cereri de restituire a taxelor de examen, în condițiile prevăzute în Regulamentul de examen.</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6.</w:t>
      </w:r>
      <w:r>
        <w:rPr>
          <w:rFonts w:ascii="Arial" w:hAnsi="Arial" w:cs="Arial" w:eastAsia="Arial"/>
          <w:color w:val="auto"/>
          <w:spacing w:val="0"/>
          <w:position w:val="0"/>
          <w:sz w:val="24"/>
          <w:shd w:fill="auto" w:val="clear"/>
        </w:rPr>
        <w:t xml:space="preserve"> – </w:t>
      </w:r>
      <w:r>
        <w:rPr>
          <w:rFonts w:ascii="Arial" w:hAnsi="Arial" w:cs="Arial" w:eastAsia="Arial"/>
          <w:b/>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Prezenta Hot</w:t>
      </w:r>
      <w:r>
        <w:rPr>
          <w:rFonts w:ascii="Arial" w:hAnsi="Arial" w:cs="Arial" w:eastAsia="Arial"/>
          <w:color w:val="auto"/>
          <w:spacing w:val="0"/>
          <w:position w:val="0"/>
          <w:sz w:val="24"/>
          <w:shd w:fill="auto" w:val="clear"/>
        </w:rPr>
        <w:t xml:space="preserve">ărâre se publică pe pagina de web a U.N.B.R.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www.unbr.ro</w:t>
        </w:r>
      </w:hyperlink>
      <w:r>
        <w:rPr>
          <w:rFonts w:ascii="Arial" w:hAnsi="Arial" w:cs="Arial" w:eastAsia="Arial"/>
          <w:color w:val="auto"/>
          <w:spacing w:val="0"/>
          <w:position w:val="0"/>
          <w:sz w:val="24"/>
          <w:shd w:fill="auto" w:val="clear"/>
        </w:rPr>
        <w:t xml:space="preserve">) și va fi comunicat</w:t>
      </w:r>
      <w:r>
        <w:rPr>
          <w:rFonts w:ascii="Arial" w:hAnsi="Arial" w:cs="Arial" w:eastAsia="Arial"/>
          <w:color w:val="auto"/>
          <w:spacing w:val="0"/>
          <w:position w:val="0"/>
          <w:sz w:val="24"/>
          <w:shd w:fill="auto" w:val="clear"/>
        </w:rPr>
        <w:t xml:space="preserve">ă barourilor, I.N.P.P.A. și membrilor Consiliului U.N.B.R..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I.N.P.P.A. și barourile vor asigura publicarea prezentei hot</w:t>
      </w:r>
      <w:r>
        <w:rPr>
          <w:rFonts w:ascii="Arial" w:hAnsi="Arial" w:cs="Arial" w:eastAsia="Arial"/>
          <w:color w:val="auto"/>
          <w:spacing w:val="0"/>
          <w:position w:val="0"/>
          <w:sz w:val="24"/>
          <w:shd w:fill="auto" w:val="clear"/>
        </w:rPr>
        <w:t xml:space="preserve">ărâri pe paginile de web ale acestora.</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r>
    </w:p>
    <w:p>
      <w:pPr>
        <w:spacing w:before="0" w:after="0" w:line="240"/>
        <w:ind w:right="0" w:left="0" w:firstLine="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ab/>
        <w:t xml:space="preserve">Adoptat</w:t>
      </w:r>
      <w:r>
        <w:rPr>
          <w:rFonts w:ascii="Arial" w:hAnsi="Arial" w:cs="Arial" w:eastAsia="Arial"/>
          <w:i/>
          <w:color w:val="auto"/>
          <w:spacing w:val="0"/>
          <w:position w:val="0"/>
          <w:sz w:val="24"/>
          <w:shd w:fill="auto" w:val="clear"/>
        </w:rPr>
        <w:t xml:space="preserve">ă azi 08.12.2018 în ședința Consiliului U.N.B.R. desfășurată la Bucuresti.</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CONSILIUL U.N.B.R.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unbr.ro/"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